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491F" w14:textId="6A0DB3FF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kern w:val="0"/>
        </w:rPr>
      </w:pPr>
      <w:r>
        <w:rPr>
          <w:rFonts w:ascii="PalatinoLinotype-Bold" w:hAnsi="PalatinoLinotype-Bold" w:cs="PalatinoLinotype-Bold"/>
          <w:b/>
          <w:bCs/>
          <w:kern w:val="0"/>
        </w:rPr>
        <w:t>MPZP</w:t>
      </w:r>
    </w:p>
    <w:p w14:paraId="39EE8D93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kern w:val="0"/>
        </w:rPr>
      </w:pPr>
    </w:p>
    <w:p w14:paraId="71B8AC41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kern w:val="0"/>
        </w:rPr>
      </w:pPr>
    </w:p>
    <w:p w14:paraId="15FEF575" w14:textId="0FBA1B5E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Bold" w:hAnsi="PalatinoLinotype-Bold" w:cs="PalatinoLinotype-Bold"/>
          <w:b/>
          <w:bCs/>
          <w:kern w:val="0"/>
        </w:rPr>
      </w:pPr>
      <w:r>
        <w:rPr>
          <w:rFonts w:ascii="PalatinoLinotype-Bold" w:hAnsi="PalatinoLinotype-Bold" w:cs="PalatinoLinotype-Bold"/>
          <w:b/>
          <w:bCs/>
          <w:kern w:val="0"/>
        </w:rPr>
        <w:t>§ 68. Dla terenu elementarnego oznaczonego symbolem: „U.1” o powierzchni ok. 4,6855 ha,</w:t>
      </w:r>
      <w:r>
        <w:rPr>
          <w:rFonts w:ascii="PalatinoLinotype-Bold" w:hAnsi="PalatinoLinotype-Bold" w:cs="PalatinoLinotype-Bold"/>
          <w:b/>
          <w:bCs/>
          <w:kern w:val="0"/>
        </w:rPr>
        <w:t xml:space="preserve"> </w:t>
      </w:r>
      <w:r>
        <w:rPr>
          <w:rFonts w:ascii="PalatinoLinotype-Bold" w:hAnsi="PalatinoLinotype-Bold" w:cs="PalatinoLinotype-Bold"/>
          <w:b/>
          <w:bCs/>
          <w:kern w:val="0"/>
        </w:rPr>
        <w:t>obowiązują następujące ustalenia:</w:t>
      </w:r>
    </w:p>
    <w:p w14:paraId="711B4C90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1. przeznaczenie terenu – teren zabudowy usługowej;</w:t>
      </w:r>
    </w:p>
    <w:p w14:paraId="3F551FF5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2. zasady zagospodarowania terenu:</w:t>
      </w:r>
    </w:p>
    <w:p w14:paraId="08416E6C" w14:textId="6744B564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1) zabudowa usług wielofunkcyjnych (m.in. handlu, administracji, oświaty, biurowych, kultury,</w:t>
      </w:r>
      <w:r>
        <w:rPr>
          <w:rFonts w:ascii="PalatinoLinotype-Roman" w:hAnsi="PalatinoLinotype-Roman" w:cs="PalatinoLinotype-Roman"/>
          <w:kern w:val="0"/>
        </w:rPr>
        <w:t xml:space="preserve"> </w:t>
      </w:r>
      <w:r>
        <w:rPr>
          <w:rFonts w:ascii="PalatinoLinotype-Roman" w:hAnsi="PalatinoLinotype-Roman" w:cs="PalatinoLinotype-Roman"/>
          <w:kern w:val="0"/>
        </w:rPr>
        <w:t>nauki, opieki zdrowotnej, sportu i rekreacji) i usług publicznych;</w:t>
      </w:r>
    </w:p>
    <w:p w14:paraId="1BA4BA53" w14:textId="15703498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2) maksymalna powierzchnia sprzedaży – do 2000 m</w:t>
      </w:r>
      <w:r>
        <w:rPr>
          <w:rFonts w:ascii="PalatinoLinotype-Roman" w:hAnsi="PalatinoLinotype-Roman" w:cs="PalatinoLinotype-Roman"/>
          <w:kern w:val="0"/>
        </w:rPr>
        <w:t>2</w:t>
      </w:r>
      <w:r>
        <w:rPr>
          <w:rFonts w:ascii="PalatinoLinotype-Roman" w:hAnsi="PalatinoLinotype-Roman" w:cs="PalatinoLinotype-Roman"/>
          <w:kern w:val="0"/>
        </w:rPr>
        <w:t>;</w:t>
      </w:r>
    </w:p>
    <w:p w14:paraId="198CBBA0" w14:textId="77777777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3) zakaz lokalizacji usług uciążliwych;</w:t>
      </w:r>
    </w:p>
    <w:p w14:paraId="4706A8D0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3. zasady kształtowania zabudowy oraz wskaźniki zagospodarowania terenu:</w:t>
      </w:r>
    </w:p>
    <w:p w14:paraId="0B5E9FF8" w14:textId="5818F893" w:rsidR="006867D4" w:rsidRDefault="006867D4" w:rsidP="00D93D21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1) minimalny udział procentowy powierzchni biologicznie czynnej w odniesieniu do działki</w:t>
      </w:r>
      <w:r w:rsidR="00D93D21">
        <w:rPr>
          <w:rFonts w:ascii="PalatinoLinotype-Roman" w:hAnsi="PalatinoLinotype-Roman" w:cs="PalatinoLinotype-Roman"/>
          <w:kern w:val="0"/>
        </w:rPr>
        <w:t xml:space="preserve"> </w:t>
      </w:r>
      <w:r>
        <w:rPr>
          <w:rFonts w:ascii="PalatinoLinotype-Roman" w:hAnsi="PalatinoLinotype-Roman" w:cs="PalatinoLinotype-Roman"/>
          <w:kern w:val="0"/>
        </w:rPr>
        <w:t>budowlanej – 40%;</w:t>
      </w:r>
    </w:p>
    <w:p w14:paraId="482BABA9" w14:textId="77777777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2) intensywność zabudowy – minimalna – 0,05, maksymalna 0,8;</w:t>
      </w:r>
    </w:p>
    <w:p w14:paraId="4E653F92" w14:textId="77777777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3) maksymalna powierzchnia zabudowy – 40% powierzchni działki;</w:t>
      </w:r>
    </w:p>
    <w:p w14:paraId="1D44A154" w14:textId="77777777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4) dopuszczalne gabaryty zabudowy:</w:t>
      </w:r>
    </w:p>
    <w:p w14:paraId="6CEDCC75" w14:textId="77777777" w:rsidR="006867D4" w:rsidRDefault="006867D4" w:rsidP="00E93053">
      <w:pPr>
        <w:suppressAutoHyphens w:val="0"/>
        <w:autoSpaceDE w:val="0"/>
        <w:autoSpaceDN w:val="0"/>
        <w:adjustRightInd w:val="0"/>
        <w:ind w:left="284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a) wysokość zabudowy – maksymalnie - 10,0 m;</w:t>
      </w:r>
    </w:p>
    <w:p w14:paraId="79C9A680" w14:textId="77777777" w:rsidR="006867D4" w:rsidRDefault="006867D4" w:rsidP="00E93053">
      <w:pPr>
        <w:suppressAutoHyphens w:val="0"/>
        <w:autoSpaceDE w:val="0"/>
        <w:autoSpaceDN w:val="0"/>
        <w:adjustRightInd w:val="0"/>
        <w:ind w:left="284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b) geometria dachów – dachy strome o dowolnym układzie połaci dachowych;</w:t>
      </w:r>
    </w:p>
    <w:p w14:paraId="48058266" w14:textId="77777777" w:rsidR="006867D4" w:rsidRDefault="006867D4" w:rsidP="00E93053">
      <w:pPr>
        <w:suppressAutoHyphens w:val="0"/>
        <w:autoSpaceDE w:val="0"/>
        <w:autoSpaceDN w:val="0"/>
        <w:adjustRightInd w:val="0"/>
        <w:ind w:left="284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c) kąt nachylenia połaci dachowych - od 15° do 35°;</w:t>
      </w:r>
    </w:p>
    <w:p w14:paraId="16684D50" w14:textId="77777777" w:rsidR="006867D4" w:rsidRDefault="006867D4" w:rsidP="00E93053">
      <w:pPr>
        <w:suppressAutoHyphens w:val="0"/>
        <w:autoSpaceDE w:val="0"/>
        <w:autoSpaceDN w:val="0"/>
        <w:adjustRightInd w:val="0"/>
        <w:ind w:left="284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d) układ kalenicy – równoległa lub prostopadła do frontu działki;</w:t>
      </w:r>
    </w:p>
    <w:p w14:paraId="28FF846B" w14:textId="7E0A3BC0" w:rsidR="006867D4" w:rsidRDefault="006867D4" w:rsidP="00E93053">
      <w:pPr>
        <w:suppressAutoHyphens w:val="0"/>
        <w:autoSpaceDE w:val="0"/>
        <w:autoSpaceDN w:val="0"/>
        <w:adjustRightInd w:val="0"/>
        <w:ind w:left="142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5) nieprzekraczalna linia zabudowy - zgodnie z rysunkiem planu miejscowego – 4,0 m od KDW.14,</w:t>
      </w:r>
      <w:r w:rsidR="00E93053">
        <w:rPr>
          <w:rFonts w:ascii="PalatinoLinotype-Roman" w:hAnsi="PalatinoLinotype-Roman" w:cs="PalatinoLinotype-Roman"/>
          <w:kern w:val="0"/>
        </w:rPr>
        <w:t xml:space="preserve"> </w:t>
      </w:r>
      <w:r>
        <w:rPr>
          <w:rFonts w:ascii="PalatinoLinotype-Roman" w:hAnsi="PalatinoLinotype-Roman" w:cs="PalatinoLinotype-Roman"/>
          <w:kern w:val="0"/>
        </w:rPr>
        <w:t>7,0 m od KDZ.1;</w:t>
      </w:r>
    </w:p>
    <w:p w14:paraId="6D87C9E5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4. minimalna powierzchnia nowo wydzielanej działki budowlanej –– 0,15 ha;</w:t>
      </w:r>
    </w:p>
    <w:p w14:paraId="0D594BE8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5. zasady obsługi komunikacyjnej – poprzez KDZ.1, KDW.14;</w:t>
      </w:r>
    </w:p>
    <w:p w14:paraId="35C1C48B" w14:textId="77777777" w:rsidR="006867D4" w:rsidRDefault="006867D4" w:rsidP="006867D4">
      <w:pPr>
        <w:suppressAutoHyphens w:val="0"/>
        <w:autoSpaceDE w:val="0"/>
        <w:autoSpaceDN w:val="0"/>
        <w:adjustRightInd w:val="0"/>
        <w:rPr>
          <w:rFonts w:ascii="PalatinoLinotype-Roman" w:hAnsi="PalatinoLinotype-Roman" w:cs="PalatinoLinotype-Roman"/>
          <w:kern w:val="0"/>
        </w:rPr>
      </w:pPr>
      <w:r>
        <w:rPr>
          <w:rFonts w:ascii="PalatinoLinotype-Roman" w:hAnsi="PalatinoLinotype-Roman" w:cs="PalatinoLinotype-Roman"/>
          <w:kern w:val="0"/>
        </w:rPr>
        <w:t>6. stawka procentowa z tytułu opłaty, o której mowa w art. 36 ust. 4 ustawy o planowaniu</w:t>
      </w:r>
    </w:p>
    <w:p w14:paraId="7B9BA724" w14:textId="659DEA5A" w:rsidR="00AD1996" w:rsidRDefault="006867D4" w:rsidP="006867D4">
      <w:r>
        <w:rPr>
          <w:rFonts w:ascii="PalatinoLinotype-Roman" w:hAnsi="PalatinoLinotype-Roman" w:cs="PalatinoLinotype-Roman"/>
          <w:kern w:val="0"/>
        </w:rPr>
        <w:t>i zagospodarowaniu przestrzennym – zgodnie z §14, ust. 3.</w:t>
      </w:r>
    </w:p>
    <w:sectPr w:rsidR="00AD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D4"/>
    <w:rsid w:val="005D1D54"/>
    <w:rsid w:val="00677B51"/>
    <w:rsid w:val="006867D4"/>
    <w:rsid w:val="00A95097"/>
    <w:rsid w:val="00AD1996"/>
    <w:rsid w:val="00D93D21"/>
    <w:rsid w:val="00E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6E58"/>
  <w15:chartTrackingRefBased/>
  <w15:docId w15:val="{22051B60-86EB-49B2-94BD-39F82B9F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86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7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7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7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7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7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7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ewasado</dc:creator>
  <cp:keywords/>
  <dc:description/>
  <cp:lastModifiedBy>ewasado</cp:lastModifiedBy>
  <cp:revision>3</cp:revision>
  <dcterms:created xsi:type="dcterms:W3CDTF">2025-03-27T12:24:00Z</dcterms:created>
  <dcterms:modified xsi:type="dcterms:W3CDTF">2025-03-27T12:27:00Z</dcterms:modified>
</cp:coreProperties>
</file>